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/>
        <w:jc w:val="center"/>
      </w:pPr>
      <w:r>
        <w:rPr>
          <w:b/>
          <w:color w:val="8A5A44"/>
          <w:sz w:val="18"/>
        </w:rPr>
        <w:t>PRACTICAL WORKBOOK</w:t>
      </w:r>
    </w:p>
    <w:p>
      <w:pPr>
        <w:pStyle w:val="Title"/>
        <w:jc w:val="center"/>
      </w:pPr>
      <w:r>
        <w:t>Lewin Application Guide</w:t>
      </w:r>
    </w:p>
    <w:p>
      <w:pPr>
        <w:pStyle w:val="Subtitle"/>
        <w:jc w:val="center"/>
      </w:pPr>
      <w:r>
        <w:t>Apply unfreezing, moving, and refreezing to a defined change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DE5DE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A5A44"/>
              </w:rPr>
              <w:t>Before you begin</w:t>
            </w:r>
          </w:p>
        </w:tc>
      </w:tr>
      <w:tr>
        <w:tc>
          <w:tcPr>
            <w:tcW w:type="dxa" w:w="10166"/>
            <w:shd w:fill="FAF8F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Complete the Change Approach and Framework Selection Guide first. Confirm why this framework fits the change and what problem it is expected to solve.</w:t>
            </w:r>
          </w:p>
        </w:tc>
      </w:tr>
    </w:tbl>
    <w:p>
      <w:pPr>
        <w:spacing w:after="20"/>
      </w:pPr>
    </w:p>
    <w:p>
      <w:pPr>
        <w:pStyle w:val="Heading1"/>
      </w:pPr>
      <w:r>
        <w:t>Change summary</w:t>
      </w:r>
    </w:p>
    <w:p>
      <w:pPr>
        <w:pStyle w:val="Heading3"/>
      </w:pPr>
      <w:r>
        <w:t>Change statement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Business or customer outcome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Affected groups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Main type of change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Incremental or transformational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Planned, emergent, dialogic, or hybrid approach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Main implementation risk</w:t>
      </w:r>
    </w:p>
    <w:p>
      <w:r>
        <w:t>_________________________________________________________________________________________________________</w:t>
      </w:r>
    </w:p>
    <w:p>
      <w:pPr>
        <w:pStyle w:val="Heading1"/>
      </w:pPr>
      <w:r>
        <w:t>Phase 1: Unfreeze</w:t>
      </w:r>
    </w:p>
    <w:p>
      <w:r>
        <w:t>Prepare the organization to release the current pattern. Lewin views the current state as an equilibrium held by driving and restraining forces.</w:t>
      </w:r>
    </w:p>
    <w:p>
      <w:pPr>
        <w:pStyle w:val="ListBullet"/>
        <w:spacing w:after="40"/>
      </w:pPr>
      <w:r>
        <w:t>Define the current behaviour, process, norm, or routine that must change.</w:t>
      </w:r>
    </w:p>
    <w:p>
      <w:pPr>
        <w:pStyle w:val="ListBullet"/>
        <w:spacing w:after="40"/>
      </w:pPr>
      <w:r>
        <w:t>Identify internal and external drivers creating the need for change.</w:t>
      </w:r>
    </w:p>
    <w:p>
      <w:pPr>
        <w:pStyle w:val="ListBullet"/>
        <w:spacing w:after="40"/>
      </w:pPr>
      <w:r>
        <w:t>List driving forces supporting change and restraining forces maintaining the current state.</w:t>
      </w:r>
    </w:p>
    <w:p>
      <w:pPr>
        <w:pStyle w:val="ListBullet"/>
        <w:spacing w:after="40"/>
      </w:pPr>
      <w:r>
        <w:t>Build a credible case for change, including the risk of inaction.</w:t>
      </w:r>
    </w:p>
    <w:p>
      <w:pPr>
        <w:pStyle w:val="ListBullet"/>
        <w:spacing w:after="40"/>
      </w:pPr>
      <w:r>
        <w:t>Engage affected groups and surface resistance, concerns, and cultural assumptions.</w:t>
      </w:r>
    </w:p>
    <w:p>
      <w:pPr>
        <w:pStyle w:val="ListBullet"/>
        <w:spacing w:after="40"/>
      </w:pPr>
      <w:r>
        <w:t>Clarify what will remain stable to reduce unnecessary uncertainty.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Driving or restraining force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Due date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Evidence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Phase 2: Move</w:t>
      </w:r>
    </w:p>
    <w:p>
      <w:r>
        <w:t>Introduce and test the new behaviour, process, or way of working. Movement includes learning and adjustment, not only execution.</w:t>
      </w:r>
    </w:p>
    <w:p>
      <w:pPr>
        <w:pStyle w:val="ListBullet"/>
        <w:spacing w:after="40"/>
      </w:pPr>
      <w:r>
        <w:t>Define the desired future state and expected behaviours.</w:t>
      </w:r>
    </w:p>
    <w:p>
      <w:pPr>
        <w:pStyle w:val="ListBullet"/>
        <w:spacing w:after="40"/>
      </w:pPr>
      <w:r>
        <w:t>Break the change into manageable workstreams and phases.</w:t>
      </w:r>
    </w:p>
    <w:p>
      <w:pPr>
        <w:pStyle w:val="ListBullet"/>
        <w:spacing w:after="40"/>
      </w:pPr>
      <w:r>
        <w:t>Provide training, tools, access, time, and support.</w:t>
      </w:r>
    </w:p>
    <w:p>
      <w:pPr>
        <w:pStyle w:val="ListBullet"/>
        <w:spacing w:after="40"/>
      </w:pPr>
      <w:r>
        <w:t>Use pilots and feedback when parts of the solution remain uncertain.</w:t>
      </w:r>
    </w:p>
    <w:p>
      <w:pPr>
        <w:pStyle w:val="ListBullet"/>
        <w:spacing w:after="40"/>
      </w:pPr>
      <w:r>
        <w:t>Remove barriers in policy, process, technology, workload, or decision rights.</w:t>
      </w:r>
    </w:p>
    <w:p>
      <w:pPr>
        <w:pStyle w:val="ListBullet"/>
        <w:spacing w:after="40"/>
      </w:pPr>
      <w:r>
        <w:t>Monitor errors, adoption, customer impact, and emerging resistance.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Affected group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Support required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Measure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Phase 3: Refreeze</w:t>
      </w:r>
    </w:p>
    <w:p>
      <w:r>
        <w:t>Stabilize the new way so the organization does not return to old routines.</w:t>
      </w:r>
    </w:p>
    <w:p>
      <w:pPr>
        <w:pStyle w:val="ListBullet"/>
        <w:spacing w:after="40"/>
      </w:pPr>
      <w:r>
        <w:t>Update procedures, role expectations, systems, and controls.</w:t>
      </w:r>
    </w:p>
    <w:p>
      <w:pPr>
        <w:pStyle w:val="ListBullet"/>
        <w:spacing w:after="40"/>
      </w:pPr>
      <w:r>
        <w:t>Align measures, recognition, consequences, and manager routines.</w:t>
      </w:r>
    </w:p>
    <w:p>
      <w:pPr>
        <w:pStyle w:val="ListBullet"/>
        <w:spacing w:after="40"/>
      </w:pPr>
      <w:r>
        <w:t>Embed the new practice into onboarding and training.</w:t>
      </w:r>
    </w:p>
    <w:p>
      <w:pPr>
        <w:pStyle w:val="ListBullet"/>
        <w:spacing w:after="40"/>
      </w:pPr>
      <w:r>
        <w:t>Confirm old tools, workarounds, or conflicting processes have been retired.</w:t>
      </w:r>
    </w:p>
    <w:p>
      <w:pPr>
        <w:pStyle w:val="ListBullet"/>
        <w:spacing w:after="40"/>
      </w:pPr>
      <w:r>
        <w:t>Use feedback and performance data to verify the new state is stable.</w:t>
      </w:r>
    </w:p>
    <w:p>
      <w:pPr>
        <w:pStyle w:val="ListBullet"/>
        <w:spacing w:after="40"/>
      </w:pPr>
      <w:r>
        <w:t>Continue reinforcement until the new behaviour becomes normal.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Reinforcement action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System or routine affected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Review date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Evidence of stability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Measurement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Measure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Baseline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Target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Frequency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Final review questions</w:t>
      </w:r>
    </w:p>
    <w:p>
      <w:pPr>
        <w:pStyle w:val="ListBullet"/>
        <w:spacing w:after="40"/>
      </w:pPr>
      <w:r>
        <w:t>☐ Does the plan address the main reason this framework was selected?</w:t>
      </w:r>
    </w:p>
    <w:p>
      <w:pPr>
        <w:pStyle w:val="ListBullet"/>
        <w:spacing w:after="40"/>
      </w:pPr>
      <w:r>
        <w:t>☐ Are actions assigned to named owners?</w:t>
      </w:r>
    </w:p>
    <w:p>
      <w:pPr>
        <w:pStyle w:val="ListBullet"/>
        <w:spacing w:after="40"/>
      </w:pPr>
      <w:r>
        <w:t>☐ Are barriers, resources, and dependencies visible?</w:t>
      </w:r>
    </w:p>
    <w:p>
      <w:pPr>
        <w:pStyle w:val="ListBullet"/>
        <w:spacing w:after="40"/>
      </w:pPr>
      <w:r>
        <w:t>☐ Do measures focus on adoption and outcomes, not activity alone?</w:t>
      </w:r>
    </w:p>
    <w:p>
      <w:pPr>
        <w:pStyle w:val="ListBullet"/>
        <w:spacing w:after="40"/>
      </w:pPr>
      <w:r>
        <w:t>☐ Is there a feedback loop for learning and adjustment?</w:t>
      </w:r>
    </w:p>
    <w:p>
      <w:pPr>
        <w:pStyle w:val="ListBullet"/>
        <w:spacing w:after="40"/>
      </w:pPr>
      <w:r>
        <w:t>☐ Are leadership actions and communication responsibilities clear?</w:t>
      </w:r>
    </w:p>
    <w:p>
      <w:r>
        <w:t>Leadership style affects how the change is understood and experienced. Refer to the related Business Capsule on leadership styles when it becomes available.</w:t>
      </w:r>
    </w:p>
    <w:sectPr w:rsidR="00FC693F" w:rsidRPr="0006063C" w:rsidSect="00034616"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6"/>
      </w:rPr>
      <w:t>HOUDALATRACH.COM | LEWIN APPLICATION GUIDE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431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4313B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8A5A4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10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4313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80"/>
      <w:contextualSpacing/>
    </w:pPr>
    <w:rPr>
      <w:rFonts w:asciiTheme="majorHAnsi" w:eastAsiaTheme="majorEastAsia" w:hAnsiTheme="majorHAnsi" w:cstheme="majorBidi" w:ascii="Aptos Display" w:hAnsi="Aptos Display"/>
      <w:b/>
      <w:color w:val="24313B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180" w:after="100"/>
    </w:pPr>
    <w:rPr>
      <w:rFonts w:asciiTheme="majorHAnsi" w:eastAsiaTheme="majorEastAsia" w:hAnsiTheme="majorHAnsi" w:cstheme="majorBidi" w:ascii="Aptos Display" w:hAnsi="Aptos Display"/>
      <w:b/>
      <w:i/>
      <w:iCs/>
      <w:color w:val="8A5A44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